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E7" w:rsidRDefault="00433145" w:rsidP="00433145">
      <w:pPr>
        <w:jc w:val="right"/>
      </w:pPr>
      <w:r w:rsidRPr="00A651C4">
        <w:rPr>
          <w:noProof/>
          <w:sz w:val="16"/>
          <w:szCs w:val="16"/>
          <w:lang w:eastAsia="da-DK"/>
        </w:rPr>
        <w:drawing>
          <wp:inline distT="0" distB="0" distL="0" distR="0" wp14:anchorId="2C1AB5D6" wp14:editId="17BEAEC2">
            <wp:extent cx="2191529" cy="373660"/>
            <wp:effectExtent l="0" t="0" r="0" b="7620"/>
            <wp:docPr id="21" name="Billede 21" descr="C:\Users\B032448\AppData\Local\Microsoft\Windows\INetCache\Content.Outlook\78BC0F2F\SEDIR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32448\AppData\Local\Microsoft\Windows\INetCache\Content.Outlook\78BC0F2F\SEDIRK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667" cy="3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145" w:rsidRDefault="00433145"/>
    <w:p w:rsidR="00985395" w:rsidRDefault="00985395"/>
    <w:p w:rsidR="00433145" w:rsidRDefault="00433145" w:rsidP="00433145">
      <w:pPr>
        <w:pStyle w:val="Titel"/>
        <w:jc w:val="center"/>
        <w:rPr>
          <w:rStyle w:val="Kraftigfremhvning"/>
          <w:b/>
        </w:rPr>
      </w:pPr>
      <w:r w:rsidRPr="00433145">
        <w:rPr>
          <w:rStyle w:val="Kraftigfremhvning"/>
          <w:b/>
        </w:rPr>
        <w:t xml:space="preserve">Principper for forskningsbaseret </w:t>
      </w:r>
      <w:r w:rsidRPr="00433145">
        <w:rPr>
          <w:rStyle w:val="Kraftigfremhvning"/>
          <w:b/>
        </w:rPr>
        <w:br/>
        <w:t>samarbejde og rådgivning</w:t>
      </w:r>
    </w:p>
    <w:p w:rsidR="00010DC9" w:rsidRPr="00010DC9" w:rsidRDefault="00010DC9" w:rsidP="00010DC9"/>
    <w:p w:rsidR="00B729E8" w:rsidRPr="00B729E8" w:rsidRDefault="00B729E8" w:rsidP="00B729E8"/>
    <w:p w:rsidR="00433145" w:rsidRPr="00615F8A" w:rsidRDefault="00CB0FF4" w:rsidP="00F65C22">
      <w:pPr>
        <w:jc w:val="both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På baggrund af </w:t>
      </w:r>
      <w:r w:rsidR="00433145" w:rsidRPr="00615F8A">
        <w:rPr>
          <w:rFonts w:ascii="Bahnschrift" w:hAnsi="Bahnschrift"/>
          <w:sz w:val="24"/>
          <w:szCs w:val="24"/>
        </w:rPr>
        <w:t xml:space="preserve">Uddannelses- og Forskningsstyrelsens </w:t>
      </w:r>
      <w:r w:rsidR="00433145" w:rsidRPr="00997407">
        <w:rPr>
          <w:rFonts w:ascii="Bahnschrift" w:hAnsi="Bahnschrift"/>
          <w:i/>
          <w:sz w:val="24"/>
          <w:szCs w:val="24"/>
        </w:rPr>
        <w:t>armslængdeudvalg</w:t>
      </w:r>
      <w:r w:rsidR="00433145" w:rsidRPr="00615F8A">
        <w:rPr>
          <w:rFonts w:ascii="Bahnschrift" w:hAnsi="Bahnschrift"/>
          <w:sz w:val="24"/>
          <w:szCs w:val="24"/>
        </w:rPr>
        <w:t>, der blev nedsat som opfølgning på tvivl om uvildighed og armslængde i universiteternes eksterne samarbejde</w:t>
      </w:r>
      <w:r w:rsidR="00010DC9">
        <w:rPr>
          <w:rFonts w:ascii="Bahnschrift" w:hAnsi="Bahnschrift"/>
          <w:sz w:val="24"/>
          <w:szCs w:val="24"/>
        </w:rPr>
        <w:t>,</w:t>
      </w:r>
      <w:r w:rsidR="00433145" w:rsidRPr="00615F8A">
        <w:rPr>
          <w:rFonts w:ascii="Bahnschrift" w:hAnsi="Bahnschrift"/>
          <w:sz w:val="24"/>
          <w:szCs w:val="24"/>
        </w:rPr>
        <w:t xml:space="preserve"> har udvalget den 1. februar 2021 offentliggjort 64 konkrete anbefalinger</w:t>
      </w:r>
      <w:r w:rsidR="00562C0F">
        <w:rPr>
          <w:rStyle w:val="Fodnotehenvisning"/>
          <w:rFonts w:ascii="Bahnschrift" w:hAnsi="Bahnschrift"/>
          <w:sz w:val="24"/>
          <w:szCs w:val="24"/>
        </w:rPr>
        <w:footnoteReference w:id="1"/>
      </w:r>
      <w:r w:rsidR="00433145" w:rsidRPr="00615F8A">
        <w:rPr>
          <w:rFonts w:ascii="Bahnschrift" w:hAnsi="Bahnschrift"/>
          <w:sz w:val="24"/>
          <w:szCs w:val="24"/>
        </w:rPr>
        <w:t xml:space="preserve"> målrettet forskere, universitetsledelse og samarbejdspartnere.</w:t>
      </w:r>
    </w:p>
    <w:p w:rsidR="00433145" w:rsidRDefault="00433145" w:rsidP="00F65C22">
      <w:pPr>
        <w:jc w:val="both"/>
      </w:pPr>
    </w:p>
    <w:p w:rsidR="00433145" w:rsidRPr="00B729E8" w:rsidRDefault="00433145" w:rsidP="00F65C22">
      <w:pPr>
        <w:jc w:val="both"/>
        <w:rPr>
          <w:rFonts w:ascii="Bahnschrift" w:hAnsi="Bahnschrift"/>
          <w:sz w:val="24"/>
          <w:szCs w:val="24"/>
        </w:rPr>
      </w:pPr>
      <w:r w:rsidRPr="00B729E8">
        <w:rPr>
          <w:rFonts w:ascii="Bahnschrift" w:hAnsi="Bahnschrift"/>
          <w:sz w:val="24"/>
          <w:szCs w:val="24"/>
        </w:rPr>
        <w:t>Formålet med udvalgets arbejde var</w:t>
      </w:r>
      <w:r w:rsidR="00997407">
        <w:rPr>
          <w:rFonts w:ascii="Bahnschrift" w:hAnsi="Bahnschrift"/>
          <w:sz w:val="24"/>
          <w:szCs w:val="24"/>
        </w:rPr>
        <w:t>,</w:t>
      </w:r>
      <w:r w:rsidRPr="00B729E8">
        <w:rPr>
          <w:rFonts w:ascii="Bahnschrift" w:hAnsi="Bahnschrift"/>
          <w:sz w:val="24"/>
          <w:szCs w:val="24"/>
        </w:rPr>
        <w:t xml:space="preserve"> at sikre tydelige retningslinjer for universiteternes forskningsbaserede rådgivning og forskningsbaserede myndighedsbetjening med henblik på at styrke tilliden til universiteternes forskning. Anbefalingerne dækker </w:t>
      </w:r>
      <w:proofErr w:type="spellStart"/>
      <w:r w:rsidRPr="00B729E8">
        <w:rPr>
          <w:rFonts w:ascii="Bahnschrift" w:hAnsi="Bahnschrift"/>
          <w:sz w:val="24"/>
          <w:szCs w:val="24"/>
        </w:rPr>
        <w:t>samfinansieret</w:t>
      </w:r>
      <w:proofErr w:type="spellEnd"/>
      <w:r w:rsidRPr="00B729E8">
        <w:rPr>
          <w:rFonts w:ascii="Bahnschrift" w:hAnsi="Bahnschrift"/>
          <w:sz w:val="24"/>
          <w:szCs w:val="24"/>
        </w:rPr>
        <w:t xml:space="preserve"> forskning, forskningsbaseret myndighedsbetjening samt rekvireret forskning og rådgivning.</w:t>
      </w:r>
    </w:p>
    <w:p w:rsidR="00433145" w:rsidRPr="00B729E8" w:rsidRDefault="00433145" w:rsidP="00F65C22">
      <w:pPr>
        <w:ind w:right="424"/>
        <w:jc w:val="both"/>
        <w:rPr>
          <w:rFonts w:ascii="Bahnschrift" w:hAnsi="Bahnschrift"/>
          <w:sz w:val="24"/>
          <w:szCs w:val="24"/>
        </w:rPr>
      </w:pPr>
    </w:p>
    <w:p w:rsidR="00433145" w:rsidRDefault="00433145" w:rsidP="00F65C22">
      <w:pPr>
        <w:jc w:val="both"/>
        <w:rPr>
          <w:rFonts w:ascii="Bahnschrift" w:hAnsi="Bahnschrift"/>
          <w:sz w:val="24"/>
          <w:szCs w:val="24"/>
        </w:rPr>
      </w:pPr>
      <w:r w:rsidRPr="00B729E8">
        <w:rPr>
          <w:rFonts w:ascii="Bahnschrift" w:hAnsi="Bahnschrift"/>
          <w:sz w:val="24"/>
          <w:szCs w:val="24"/>
        </w:rPr>
        <w:t xml:space="preserve">Da SEDIRK ser sig selv som en væsentlig aktør i forskningsverdenen, blev det besluttet på </w:t>
      </w:r>
      <w:proofErr w:type="spellStart"/>
      <w:r w:rsidRPr="00B729E8">
        <w:rPr>
          <w:rFonts w:ascii="Bahnschrift" w:hAnsi="Bahnschrift"/>
          <w:sz w:val="24"/>
          <w:szCs w:val="24"/>
        </w:rPr>
        <w:t>SED</w:t>
      </w:r>
      <w:r w:rsidR="003B1B61">
        <w:rPr>
          <w:rFonts w:ascii="Bahnschrift" w:hAnsi="Bahnschrift"/>
          <w:sz w:val="24"/>
          <w:szCs w:val="24"/>
        </w:rPr>
        <w:t>IRKs</w:t>
      </w:r>
      <w:proofErr w:type="spellEnd"/>
      <w:r w:rsidR="003B1B61">
        <w:rPr>
          <w:rFonts w:ascii="Bahnschrift" w:hAnsi="Bahnschrift"/>
          <w:sz w:val="24"/>
          <w:szCs w:val="24"/>
        </w:rPr>
        <w:t xml:space="preserve"> generalforsamling den 10. maj 2021</w:t>
      </w:r>
      <w:r w:rsidRPr="00B729E8">
        <w:rPr>
          <w:rFonts w:ascii="Bahnschrift" w:hAnsi="Bahnschrift"/>
          <w:sz w:val="24"/>
          <w:szCs w:val="24"/>
        </w:rPr>
        <w:t>, at SEDIRK-medlemmerne skulle undersøge</w:t>
      </w:r>
      <w:r w:rsidR="00997407">
        <w:rPr>
          <w:rFonts w:ascii="Bahnschrift" w:hAnsi="Bahnschrift"/>
          <w:sz w:val="24"/>
          <w:szCs w:val="24"/>
        </w:rPr>
        <w:t>,</w:t>
      </w:r>
      <w:r w:rsidRPr="00B729E8">
        <w:rPr>
          <w:rFonts w:ascii="Bahnschrift" w:hAnsi="Bahnschrift"/>
          <w:sz w:val="24"/>
          <w:szCs w:val="24"/>
        </w:rPr>
        <w:t xml:space="preserve"> i egen institution, om man kunne tilslutte sig anbefalingerne</w:t>
      </w:r>
      <w:r w:rsidR="00297586" w:rsidRPr="00B729E8">
        <w:rPr>
          <w:rFonts w:ascii="Bahnschrift" w:hAnsi="Bahnschrift"/>
          <w:sz w:val="24"/>
          <w:szCs w:val="24"/>
        </w:rPr>
        <w:t xml:space="preserve">, </w:t>
      </w:r>
      <w:r w:rsidR="00997407">
        <w:rPr>
          <w:rFonts w:ascii="Bahnschrift" w:hAnsi="Bahnschrift"/>
          <w:sz w:val="24"/>
          <w:szCs w:val="24"/>
        </w:rPr>
        <w:t xml:space="preserve">således </w:t>
      </w:r>
      <w:r w:rsidR="00297586" w:rsidRPr="00B729E8">
        <w:rPr>
          <w:rFonts w:ascii="Bahnschrift" w:hAnsi="Bahnschrift"/>
          <w:sz w:val="24"/>
          <w:szCs w:val="24"/>
        </w:rPr>
        <w:t>som de otte danske universit</w:t>
      </w:r>
      <w:r w:rsidR="00997407">
        <w:rPr>
          <w:rFonts w:ascii="Bahnschrift" w:hAnsi="Bahnschrift"/>
          <w:sz w:val="24"/>
          <w:szCs w:val="24"/>
        </w:rPr>
        <w:t>eter allerede har gjort</w:t>
      </w:r>
      <w:r w:rsidR="00297586" w:rsidRPr="00B729E8">
        <w:rPr>
          <w:rFonts w:ascii="Bahnschrift" w:hAnsi="Bahnschrift"/>
          <w:sz w:val="24"/>
          <w:szCs w:val="24"/>
        </w:rPr>
        <w:t>,</w:t>
      </w:r>
      <w:r w:rsidRPr="00B729E8">
        <w:rPr>
          <w:rFonts w:ascii="Bahnschrift" w:hAnsi="Bahnschrift"/>
          <w:sz w:val="24"/>
          <w:szCs w:val="24"/>
        </w:rPr>
        <w:t xml:space="preserve"> eller om man ønskede</w:t>
      </w:r>
      <w:r w:rsidR="0042130B">
        <w:rPr>
          <w:rFonts w:ascii="Bahnschrift" w:hAnsi="Bahnschrift"/>
          <w:sz w:val="24"/>
          <w:szCs w:val="24"/>
        </w:rPr>
        <w:t xml:space="preserve"> et klausuleret forbehold i og med at SEDIRK-institutionernes forskningsområder, arbejdsfelter og </w:t>
      </w:r>
      <w:r w:rsidR="00010DC9">
        <w:rPr>
          <w:rFonts w:ascii="Bahnschrift" w:hAnsi="Bahnschrift"/>
          <w:sz w:val="24"/>
          <w:szCs w:val="24"/>
        </w:rPr>
        <w:t xml:space="preserve">ikke mindst </w:t>
      </w:r>
      <w:r w:rsidR="0042130B">
        <w:rPr>
          <w:rFonts w:ascii="Bahnschrift" w:hAnsi="Bahnschrift"/>
          <w:sz w:val="24"/>
          <w:szCs w:val="24"/>
        </w:rPr>
        <w:t>organisatoriske ophæng adskiller sig væsentligt fra universiteternes.</w:t>
      </w:r>
      <w:r w:rsidR="00010DC9">
        <w:rPr>
          <w:rFonts w:ascii="Bahnschrift" w:hAnsi="Bahnschrift"/>
          <w:sz w:val="24"/>
          <w:szCs w:val="24"/>
        </w:rPr>
        <w:t xml:space="preserve"> </w:t>
      </w:r>
    </w:p>
    <w:p w:rsidR="00010DC9" w:rsidRDefault="00010DC9" w:rsidP="00F65C22">
      <w:pPr>
        <w:jc w:val="both"/>
        <w:rPr>
          <w:rFonts w:ascii="Bahnschrift" w:hAnsi="Bahnschrift"/>
          <w:sz w:val="24"/>
          <w:szCs w:val="24"/>
        </w:rPr>
      </w:pPr>
    </w:p>
    <w:p w:rsidR="007B5CC0" w:rsidRPr="00691A5B" w:rsidRDefault="00C61732" w:rsidP="00F65C22">
      <w:pPr>
        <w:jc w:val="both"/>
        <w:rPr>
          <w:rFonts w:ascii="Bahnschrift" w:hAnsi="Bahnschrift"/>
          <w:sz w:val="24"/>
          <w:szCs w:val="24"/>
        </w:rPr>
      </w:pPr>
      <w:r w:rsidRPr="00691A5B">
        <w:rPr>
          <w:rFonts w:ascii="Bahnschrift" w:hAnsi="Bahnschrift"/>
          <w:sz w:val="24"/>
          <w:szCs w:val="24"/>
        </w:rPr>
        <w:t>SEDIRK</w:t>
      </w:r>
      <w:r w:rsidR="00CA42BF" w:rsidRPr="00691A5B">
        <w:rPr>
          <w:rStyle w:val="Fodnotehenvisning"/>
          <w:rFonts w:ascii="Bahnschrift" w:hAnsi="Bahnschrift"/>
          <w:sz w:val="24"/>
          <w:szCs w:val="24"/>
        </w:rPr>
        <w:footnoteReference w:id="2"/>
      </w:r>
      <w:r w:rsidR="00CB0FF4" w:rsidRPr="00691A5B">
        <w:rPr>
          <w:rFonts w:ascii="Bahnschrift" w:hAnsi="Bahnschrift"/>
          <w:sz w:val="24"/>
          <w:szCs w:val="24"/>
        </w:rPr>
        <w:t xml:space="preserve"> </w:t>
      </w:r>
      <w:r w:rsidRPr="00691A5B">
        <w:rPr>
          <w:rFonts w:ascii="Bahnschrift" w:hAnsi="Bahnschrift"/>
          <w:sz w:val="24"/>
          <w:szCs w:val="24"/>
        </w:rPr>
        <w:t>tilslutter sig de pr.</w:t>
      </w:r>
      <w:r w:rsidR="00691A5B" w:rsidRPr="00691A5B">
        <w:rPr>
          <w:rFonts w:ascii="Bahnschrift" w:hAnsi="Bahnschrift"/>
          <w:sz w:val="24"/>
          <w:szCs w:val="24"/>
        </w:rPr>
        <w:t xml:space="preserve"> 13. januar</w:t>
      </w:r>
      <w:r w:rsidR="00CA42BF" w:rsidRPr="00691A5B">
        <w:rPr>
          <w:rFonts w:ascii="Bahnschrift" w:hAnsi="Bahnschrift"/>
          <w:sz w:val="24"/>
          <w:szCs w:val="24"/>
        </w:rPr>
        <w:t xml:space="preserve"> 2022</w:t>
      </w:r>
      <w:r w:rsidRPr="00691A5B">
        <w:rPr>
          <w:rFonts w:ascii="Bahnschrift" w:hAnsi="Bahnschrift"/>
          <w:sz w:val="24"/>
          <w:szCs w:val="24"/>
        </w:rPr>
        <w:t xml:space="preserve"> gældende </w:t>
      </w:r>
      <w:r w:rsidR="00BE0238" w:rsidRPr="00691A5B">
        <w:rPr>
          <w:rFonts w:ascii="Bahnschrift" w:hAnsi="Bahnschrift"/>
          <w:sz w:val="24"/>
          <w:szCs w:val="24"/>
        </w:rPr>
        <w:t xml:space="preserve">anbefalinger og </w:t>
      </w:r>
      <w:r w:rsidRPr="00691A5B">
        <w:rPr>
          <w:rFonts w:ascii="Bahnschrift" w:hAnsi="Bahnschrift"/>
          <w:sz w:val="24"/>
          <w:szCs w:val="24"/>
        </w:rPr>
        <w:t>principper for forskningsbaseret samarbejde og rådgivning</w:t>
      </w:r>
      <w:r w:rsidR="00BE0238" w:rsidRPr="00691A5B">
        <w:rPr>
          <w:rFonts w:ascii="Bahnschrift" w:hAnsi="Bahnschrift"/>
          <w:sz w:val="24"/>
          <w:szCs w:val="24"/>
        </w:rPr>
        <w:t xml:space="preserve"> jfr. </w:t>
      </w:r>
      <w:r w:rsidR="00CB0FF4" w:rsidRPr="00691A5B">
        <w:rPr>
          <w:rFonts w:ascii="Bahnschrift" w:hAnsi="Bahnschrift"/>
          <w:sz w:val="24"/>
          <w:szCs w:val="24"/>
        </w:rPr>
        <w:t>udvalgets publikation</w:t>
      </w:r>
      <w:r w:rsidR="00BE0238" w:rsidRPr="00691A5B">
        <w:rPr>
          <w:rFonts w:ascii="Bahnschrift" w:hAnsi="Bahnschrift"/>
          <w:sz w:val="24"/>
          <w:szCs w:val="24"/>
        </w:rPr>
        <w:t xml:space="preserve">, </w:t>
      </w:r>
      <w:r w:rsidR="006C6E0A" w:rsidRPr="00691A5B">
        <w:rPr>
          <w:rFonts w:ascii="Bahnschrift" w:hAnsi="Bahnschrift"/>
          <w:sz w:val="24"/>
          <w:szCs w:val="24"/>
        </w:rPr>
        <w:t>dog med følgende undtagelse</w:t>
      </w:r>
      <w:r w:rsidR="007B5CC0" w:rsidRPr="00691A5B">
        <w:rPr>
          <w:rFonts w:ascii="Bahnschrift" w:hAnsi="Bahnschrift"/>
          <w:sz w:val="24"/>
          <w:szCs w:val="24"/>
        </w:rPr>
        <w:t>r</w:t>
      </w:r>
      <w:r w:rsidR="006C6E0A" w:rsidRPr="00691A5B">
        <w:rPr>
          <w:rFonts w:ascii="Bahnschrift" w:hAnsi="Bahnschrift"/>
          <w:sz w:val="24"/>
          <w:szCs w:val="24"/>
        </w:rPr>
        <w:t>;</w:t>
      </w:r>
      <w:r w:rsidR="007B5CC0" w:rsidRPr="00691A5B">
        <w:rPr>
          <w:rFonts w:ascii="Bahnschrift" w:hAnsi="Bahnschrift"/>
          <w:sz w:val="24"/>
          <w:szCs w:val="24"/>
        </w:rPr>
        <w:t xml:space="preserve"> </w:t>
      </w:r>
    </w:p>
    <w:p w:rsidR="007B5CC0" w:rsidRPr="00691A5B" w:rsidRDefault="007B5CC0" w:rsidP="00F65C22">
      <w:pPr>
        <w:jc w:val="both"/>
        <w:rPr>
          <w:rFonts w:ascii="Bahnschrift" w:hAnsi="Bahnschrift"/>
          <w:sz w:val="24"/>
          <w:szCs w:val="24"/>
        </w:rPr>
      </w:pPr>
    </w:p>
    <w:p w:rsidR="008A046C" w:rsidRPr="00691A5B" w:rsidRDefault="008A046C" w:rsidP="00EF6561">
      <w:pPr>
        <w:pStyle w:val="Listeafsni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  <w:lang w:val="da-DK"/>
        </w:rPr>
      </w:pPr>
      <w:r w:rsidRPr="00691A5B">
        <w:rPr>
          <w:rFonts w:ascii="Bahnschrift" w:hAnsi="Bahnschrift"/>
          <w:sz w:val="24"/>
          <w:szCs w:val="24"/>
          <w:lang w:val="da-DK"/>
        </w:rPr>
        <w:t>SEDIRK-institutionerne er ikke dækket af bestemmelserne i Universitetsloven</w:t>
      </w:r>
    </w:p>
    <w:p w:rsidR="007B5CC0" w:rsidRPr="00691A5B" w:rsidRDefault="008A046C" w:rsidP="00EF6561">
      <w:pPr>
        <w:pStyle w:val="Listeafsni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  <w:lang w:val="da-DK"/>
        </w:rPr>
      </w:pPr>
      <w:r w:rsidRPr="00691A5B">
        <w:rPr>
          <w:rFonts w:ascii="Bahnschrift" w:hAnsi="Bahnschrift"/>
          <w:sz w:val="24"/>
          <w:szCs w:val="24"/>
          <w:lang w:val="da-DK"/>
        </w:rPr>
        <w:t xml:space="preserve">SEDIRK-institutionerne </w:t>
      </w:r>
      <w:r w:rsidR="00A33985" w:rsidRPr="00691A5B">
        <w:rPr>
          <w:rFonts w:ascii="Bahnschrift" w:hAnsi="Bahnschrift"/>
          <w:sz w:val="24"/>
          <w:szCs w:val="24"/>
          <w:lang w:val="da-DK"/>
        </w:rPr>
        <w:t>følge</w:t>
      </w:r>
      <w:r w:rsidR="00CB0FF4" w:rsidRPr="00691A5B">
        <w:rPr>
          <w:rFonts w:ascii="Bahnschrift" w:hAnsi="Bahnschrift"/>
          <w:sz w:val="24"/>
          <w:szCs w:val="24"/>
          <w:lang w:val="da-DK"/>
        </w:rPr>
        <w:t>r</w:t>
      </w:r>
      <w:r w:rsidR="00A33985" w:rsidRPr="00691A5B">
        <w:rPr>
          <w:rFonts w:ascii="Bahnschrift" w:hAnsi="Bahnschrift"/>
          <w:sz w:val="24"/>
          <w:szCs w:val="24"/>
          <w:lang w:val="da-DK"/>
        </w:rPr>
        <w:t xml:space="preserve"> egen </w:t>
      </w:r>
      <w:r w:rsidR="00E83C01" w:rsidRPr="00691A5B">
        <w:rPr>
          <w:rFonts w:ascii="Bahnschrift" w:hAnsi="Bahnschrift"/>
          <w:sz w:val="24"/>
          <w:szCs w:val="24"/>
          <w:lang w:val="da-DK"/>
        </w:rPr>
        <w:t>rammelovgivning/egen sektorlovgivning med understøttende administrative bestemmelser og praksi</w:t>
      </w:r>
      <w:r w:rsidR="003F1FC4" w:rsidRPr="00691A5B">
        <w:rPr>
          <w:rFonts w:ascii="Bahnschrift" w:hAnsi="Bahnschrift"/>
          <w:sz w:val="24"/>
          <w:szCs w:val="24"/>
          <w:lang w:val="da-DK"/>
        </w:rPr>
        <w:t>s</w:t>
      </w:r>
    </w:p>
    <w:p w:rsidR="007B5CC0" w:rsidRPr="00691A5B" w:rsidRDefault="004E513F" w:rsidP="007B5CC0">
      <w:pPr>
        <w:pStyle w:val="Listeafsni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  <w:lang w:val="da-DK"/>
        </w:rPr>
      </w:pPr>
      <w:r w:rsidRPr="00691A5B">
        <w:rPr>
          <w:rFonts w:ascii="Bahnschrift" w:hAnsi="Bahnschrift"/>
          <w:sz w:val="24"/>
          <w:szCs w:val="24"/>
          <w:lang w:val="da-DK"/>
        </w:rPr>
        <w:t xml:space="preserve">SEDIRK-institutionernes forvaltningsmæssige og organisatoriske tilknytning er </w:t>
      </w:r>
      <w:r w:rsidR="001D0E54" w:rsidRPr="00691A5B">
        <w:rPr>
          <w:rFonts w:ascii="Bahnschrift" w:hAnsi="Bahnschrift"/>
          <w:sz w:val="24"/>
          <w:szCs w:val="24"/>
          <w:lang w:val="da-DK"/>
        </w:rPr>
        <w:t xml:space="preserve">alene til </w:t>
      </w:r>
      <w:r w:rsidR="00A33985" w:rsidRPr="00691A5B">
        <w:rPr>
          <w:rFonts w:ascii="Bahnschrift" w:hAnsi="Bahnschrift"/>
          <w:sz w:val="24"/>
          <w:szCs w:val="24"/>
          <w:lang w:val="da-DK"/>
        </w:rPr>
        <w:t>de ministerier hvorunder de henh</w:t>
      </w:r>
      <w:r w:rsidRPr="00691A5B">
        <w:rPr>
          <w:rFonts w:ascii="Bahnschrift" w:hAnsi="Bahnschrift"/>
          <w:sz w:val="24"/>
          <w:szCs w:val="24"/>
          <w:lang w:val="da-DK"/>
        </w:rPr>
        <w:t>ører</w:t>
      </w:r>
    </w:p>
    <w:p w:rsidR="00010DC9" w:rsidRPr="00691A5B" w:rsidRDefault="00E83C01" w:rsidP="00594A7E">
      <w:pPr>
        <w:pStyle w:val="Listeafsni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  <w:lang w:val="da-DK"/>
        </w:rPr>
      </w:pPr>
      <w:r w:rsidRPr="00691A5B">
        <w:rPr>
          <w:rFonts w:ascii="Bahnschrift" w:hAnsi="Bahnschrift"/>
          <w:sz w:val="24"/>
          <w:szCs w:val="24"/>
          <w:lang w:val="da-DK"/>
        </w:rPr>
        <w:t>SEDIRK-institutioner</w:t>
      </w:r>
      <w:r w:rsidR="00A33985" w:rsidRPr="00691A5B">
        <w:rPr>
          <w:rFonts w:ascii="Bahnschrift" w:hAnsi="Bahnschrift"/>
          <w:sz w:val="24"/>
          <w:szCs w:val="24"/>
          <w:lang w:val="da-DK"/>
        </w:rPr>
        <w:t xml:space="preserve"> bedriver udover fri </w:t>
      </w:r>
      <w:r w:rsidRPr="00691A5B">
        <w:rPr>
          <w:rFonts w:ascii="Bahnschrift" w:hAnsi="Bahnschrift"/>
          <w:sz w:val="24"/>
          <w:szCs w:val="24"/>
          <w:lang w:val="da-DK"/>
        </w:rPr>
        <w:t xml:space="preserve">og uafhængig </w:t>
      </w:r>
      <w:r w:rsidR="00A33985" w:rsidRPr="00691A5B">
        <w:rPr>
          <w:rFonts w:ascii="Bahnschrift" w:hAnsi="Bahnschrift"/>
          <w:sz w:val="24"/>
          <w:szCs w:val="24"/>
          <w:lang w:val="da-DK"/>
        </w:rPr>
        <w:t xml:space="preserve">forskning også forvaltningsmæssig virksomhed i samarbejde med den overliggende ministerielle myndighed, og </w:t>
      </w:r>
      <w:r w:rsidR="001D0E54" w:rsidRPr="00691A5B">
        <w:rPr>
          <w:rFonts w:ascii="Bahnschrift" w:hAnsi="Bahnschrift"/>
          <w:sz w:val="24"/>
          <w:szCs w:val="24"/>
          <w:lang w:val="da-DK"/>
        </w:rPr>
        <w:t>vil foretage en konkret og individuel afvejning af</w:t>
      </w:r>
      <w:r w:rsidR="00B229E1" w:rsidRPr="00691A5B">
        <w:rPr>
          <w:rFonts w:ascii="Bahnschrift" w:hAnsi="Bahnschrift"/>
          <w:sz w:val="24"/>
          <w:szCs w:val="24"/>
          <w:lang w:val="da-DK"/>
        </w:rPr>
        <w:t xml:space="preserve"> de for</w:t>
      </w:r>
      <w:r w:rsidR="001D0E54" w:rsidRPr="00691A5B">
        <w:rPr>
          <w:rFonts w:ascii="Bahnschrift" w:hAnsi="Bahnschrift"/>
          <w:sz w:val="24"/>
          <w:szCs w:val="24"/>
          <w:lang w:val="da-DK"/>
        </w:rPr>
        <w:t>skellige interesser</w:t>
      </w:r>
    </w:p>
    <w:p w:rsidR="005A26E1" w:rsidRPr="00691A5B" w:rsidRDefault="005A26E1" w:rsidP="00594A7E">
      <w:pPr>
        <w:pStyle w:val="Listeafsnit"/>
        <w:numPr>
          <w:ilvl w:val="0"/>
          <w:numId w:val="3"/>
        </w:numPr>
        <w:jc w:val="both"/>
        <w:rPr>
          <w:rFonts w:ascii="Bahnschrift" w:hAnsi="Bahnschrift"/>
          <w:sz w:val="24"/>
          <w:szCs w:val="24"/>
          <w:lang w:val="da-DK"/>
        </w:rPr>
      </w:pPr>
      <w:r w:rsidRPr="00691A5B">
        <w:rPr>
          <w:rFonts w:ascii="Bahnschrift" w:hAnsi="Bahnschrift"/>
          <w:sz w:val="24"/>
          <w:szCs w:val="24"/>
          <w:lang w:val="da-DK"/>
        </w:rPr>
        <w:t xml:space="preserve">SEDIRK-institutionerne </w:t>
      </w:r>
      <w:r w:rsidR="0064442E" w:rsidRPr="00691A5B">
        <w:rPr>
          <w:rFonts w:ascii="Bahnschrift" w:hAnsi="Bahnschrift"/>
          <w:sz w:val="24"/>
          <w:szCs w:val="24"/>
          <w:lang w:val="da-DK"/>
        </w:rPr>
        <w:t>har det overordnede institutionelle ledelsesansvar for ansatte og tilknyttede forskere, der ikke, som i ordinær forskning med peer-</w:t>
      </w:r>
      <w:proofErr w:type="spellStart"/>
      <w:r w:rsidR="0064442E" w:rsidRPr="00691A5B">
        <w:rPr>
          <w:rFonts w:ascii="Bahnschrift" w:hAnsi="Bahnschrift"/>
          <w:sz w:val="24"/>
          <w:szCs w:val="24"/>
          <w:lang w:val="da-DK"/>
        </w:rPr>
        <w:t>review</w:t>
      </w:r>
      <w:proofErr w:type="spellEnd"/>
      <w:r w:rsidR="0064442E" w:rsidRPr="00691A5B">
        <w:rPr>
          <w:rFonts w:ascii="Bahnschrift" w:hAnsi="Bahnschrift"/>
          <w:sz w:val="24"/>
          <w:szCs w:val="24"/>
          <w:lang w:val="da-DK"/>
        </w:rPr>
        <w:t xml:space="preserve">, selv er alene-ansvarlig for produktet. </w:t>
      </w:r>
    </w:p>
    <w:p w:rsidR="00CA42BF" w:rsidRDefault="00CA42BF" w:rsidP="00CA42BF">
      <w:pPr>
        <w:spacing w:line="252" w:lineRule="auto"/>
        <w:ind w:left="720"/>
        <w:rPr>
          <w:rFonts w:ascii="Calibri" w:hAnsi="Calibri"/>
        </w:rPr>
      </w:pPr>
      <w:bookmarkStart w:id="0" w:name="_GoBack"/>
      <w:bookmarkEnd w:id="0"/>
    </w:p>
    <w:p w:rsidR="00985395" w:rsidRDefault="00985395" w:rsidP="00297586">
      <w:pPr>
        <w:ind w:left="1276"/>
        <w:rPr>
          <w:rFonts w:ascii="Calibri" w:hAnsi="Calibri"/>
        </w:rPr>
      </w:pPr>
    </w:p>
    <w:p w:rsidR="00985395" w:rsidRDefault="003A77BB" w:rsidP="003A77BB">
      <w:pPr>
        <w:jc w:val="center"/>
      </w:pPr>
      <w:r>
        <w:rPr>
          <w:rFonts w:ascii="Bahnschrift" w:hAnsi="Bahnschrift"/>
          <w:sz w:val="24"/>
          <w:szCs w:val="24"/>
        </w:rPr>
        <w:t>Besluttet af SE</w:t>
      </w:r>
      <w:r w:rsidR="00691A5B">
        <w:rPr>
          <w:rFonts w:ascii="Bahnschrift" w:hAnsi="Bahnschrift"/>
          <w:sz w:val="24"/>
          <w:szCs w:val="24"/>
        </w:rPr>
        <w:t>DIRK den 13.01.</w:t>
      </w:r>
      <w:r w:rsidR="00CA42BF">
        <w:rPr>
          <w:rFonts w:ascii="Bahnschrift" w:hAnsi="Bahnschrift"/>
          <w:sz w:val="24"/>
          <w:szCs w:val="24"/>
        </w:rPr>
        <w:t>2022</w:t>
      </w:r>
      <w:r>
        <w:rPr>
          <w:rFonts w:ascii="Bahnschrift" w:hAnsi="Bahnschrift"/>
          <w:sz w:val="24"/>
          <w:szCs w:val="24"/>
        </w:rPr>
        <w:t>.</w:t>
      </w:r>
    </w:p>
    <w:sectPr w:rsidR="00985395" w:rsidSect="005A26E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F5" w:rsidRDefault="00742EF5" w:rsidP="00562C0F">
      <w:pPr>
        <w:spacing w:line="240" w:lineRule="auto"/>
      </w:pPr>
      <w:r>
        <w:separator/>
      </w:r>
    </w:p>
  </w:endnote>
  <w:endnote w:type="continuationSeparator" w:id="0">
    <w:p w:rsidR="00742EF5" w:rsidRDefault="00742EF5" w:rsidP="0056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F5" w:rsidRDefault="00742EF5" w:rsidP="00562C0F">
      <w:pPr>
        <w:spacing w:line="240" w:lineRule="auto"/>
      </w:pPr>
      <w:r>
        <w:separator/>
      </w:r>
    </w:p>
  </w:footnote>
  <w:footnote w:type="continuationSeparator" w:id="0">
    <w:p w:rsidR="00742EF5" w:rsidRDefault="00742EF5" w:rsidP="00562C0F">
      <w:pPr>
        <w:spacing w:line="240" w:lineRule="auto"/>
      </w:pPr>
      <w:r>
        <w:continuationSeparator/>
      </w:r>
    </w:p>
  </w:footnote>
  <w:footnote w:id="1">
    <w:p w:rsidR="00BF7A25" w:rsidRPr="00CA42BF" w:rsidRDefault="00562C0F" w:rsidP="00BF7A25">
      <w:pPr>
        <w:pStyle w:val="Brdtekst"/>
        <w:kinsoku w:val="0"/>
        <w:overflowPunct w:val="0"/>
        <w:spacing w:line="143" w:lineRule="exact"/>
        <w:rPr>
          <w:rFonts w:asciiTheme="minorHAnsi" w:hAnsiTheme="minorHAnsi" w:cstheme="minorHAnsi"/>
        </w:rPr>
      </w:pPr>
      <w:r w:rsidRPr="00CA42BF">
        <w:rPr>
          <w:rStyle w:val="Fodnotehenvisning"/>
          <w:rFonts w:asciiTheme="minorHAnsi" w:hAnsiTheme="minorHAnsi" w:cstheme="minorHAnsi"/>
        </w:rPr>
        <w:footnoteRef/>
      </w:r>
      <w:r w:rsidRPr="00CA42BF">
        <w:rPr>
          <w:rFonts w:asciiTheme="minorHAnsi" w:hAnsiTheme="minorHAnsi" w:cstheme="minorHAnsi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0"/>
        </w:rPr>
        <w:t>Principper</w:t>
      </w:r>
      <w:r w:rsidR="00BF7A25" w:rsidRPr="00CA42B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0"/>
        </w:rPr>
        <w:t>og</w:t>
      </w:r>
      <w:r w:rsidR="00BF7A25" w:rsidRPr="00CA42BF">
        <w:rPr>
          <w:rFonts w:asciiTheme="minorHAnsi" w:hAnsiTheme="minorHAnsi" w:cstheme="minorHAnsi"/>
          <w:color w:val="231F20"/>
          <w:spacing w:val="3"/>
          <w:w w:val="110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0"/>
        </w:rPr>
        <w:t xml:space="preserve">anbefalinger </w:t>
      </w:r>
      <w:r w:rsidR="00BF7A25" w:rsidRPr="00CA42BF">
        <w:rPr>
          <w:rFonts w:asciiTheme="minorHAnsi" w:hAnsiTheme="minorHAnsi" w:cstheme="minorHAnsi"/>
          <w:color w:val="231F20"/>
          <w:w w:val="115"/>
        </w:rPr>
        <w:t>for</w:t>
      </w:r>
      <w:r w:rsidR="00BF7A25" w:rsidRPr="00CA42BF">
        <w:rPr>
          <w:rFonts w:asciiTheme="minorHAnsi" w:hAnsiTheme="minorHAnsi" w:cstheme="minorHAnsi"/>
          <w:color w:val="231F20"/>
          <w:spacing w:val="1"/>
          <w:w w:val="11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5"/>
        </w:rPr>
        <w:t>forskningsbaseret</w:t>
      </w:r>
      <w:r w:rsidR="00BF7A25" w:rsidRPr="00CA42BF">
        <w:rPr>
          <w:rFonts w:asciiTheme="minorHAnsi" w:hAnsiTheme="minorHAnsi" w:cstheme="minorHAnsi"/>
          <w:color w:val="231F20"/>
          <w:spacing w:val="-4"/>
          <w:w w:val="11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5"/>
        </w:rPr>
        <w:t>samarbejde</w:t>
      </w:r>
      <w:r w:rsidR="00BF7A25" w:rsidRPr="00CA42BF">
        <w:rPr>
          <w:rFonts w:asciiTheme="minorHAnsi" w:hAnsiTheme="minorHAnsi" w:cstheme="minorHAnsi"/>
          <w:color w:val="231F20"/>
          <w:spacing w:val="2"/>
          <w:w w:val="11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5"/>
        </w:rPr>
        <w:t>og</w:t>
      </w:r>
      <w:r w:rsidR="00BF7A25" w:rsidRPr="00CA42BF">
        <w:rPr>
          <w:rFonts w:asciiTheme="minorHAnsi" w:hAnsiTheme="minorHAnsi" w:cstheme="minorHAnsi"/>
          <w:color w:val="231F20"/>
          <w:spacing w:val="2"/>
          <w:w w:val="11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15"/>
        </w:rPr>
        <w:t xml:space="preserve">rådgivning - </w:t>
      </w:r>
      <w:r w:rsidR="00BF7A25" w:rsidRPr="00CA42BF">
        <w:rPr>
          <w:rFonts w:asciiTheme="minorHAnsi" w:hAnsiTheme="minorHAnsi" w:cstheme="minorHAnsi"/>
          <w:color w:val="231F20"/>
          <w:w w:val="105"/>
        </w:rPr>
        <w:t>©</w:t>
      </w:r>
      <w:r w:rsidR="00BF7A25" w:rsidRPr="00CA42BF">
        <w:rPr>
          <w:rFonts w:asciiTheme="minorHAnsi" w:hAnsiTheme="minorHAnsi" w:cstheme="minorHAnsi"/>
          <w:color w:val="231F20"/>
          <w:spacing w:val="-28"/>
          <w:w w:val="10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05"/>
        </w:rPr>
        <w:t>Danske</w:t>
      </w:r>
      <w:r w:rsidR="00BF7A25" w:rsidRPr="00CA42BF">
        <w:rPr>
          <w:rFonts w:asciiTheme="minorHAnsi" w:hAnsiTheme="minorHAnsi" w:cstheme="minorHAnsi"/>
          <w:color w:val="231F20"/>
          <w:spacing w:val="-7"/>
          <w:w w:val="10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05"/>
        </w:rPr>
        <w:t>Universiteter</w:t>
      </w:r>
      <w:r w:rsidR="00BF7A25" w:rsidRPr="00CA42BF">
        <w:rPr>
          <w:rFonts w:asciiTheme="minorHAnsi" w:hAnsiTheme="minorHAnsi" w:cstheme="minorHAnsi"/>
          <w:color w:val="231F20"/>
          <w:spacing w:val="-8"/>
          <w:w w:val="105"/>
        </w:rPr>
        <w:t xml:space="preserve"> </w:t>
      </w:r>
      <w:r w:rsidR="00BF7A25" w:rsidRPr="00CA42BF">
        <w:rPr>
          <w:rFonts w:asciiTheme="minorHAnsi" w:hAnsiTheme="minorHAnsi" w:cstheme="minorHAnsi"/>
          <w:color w:val="231F20"/>
          <w:w w:val="105"/>
        </w:rPr>
        <w:t xml:space="preserve">2021 - </w:t>
      </w:r>
    </w:p>
    <w:p w:rsidR="00562C0F" w:rsidRPr="00CA42BF" w:rsidRDefault="00BF7A25" w:rsidP="00C61732">
      <w:pPr>
        <w:kinsoku w:val="0"/>
        <w:overflowPunct w:val="0"/>
        <w:autoSpaceDE w:val="0"/>
        <w:autoSpaceDN w:val="0"/>
        <w:adjustRightInd w:val="0"/>
        <w:spacing w:line="240" w:lineRule="auto"/>
        <w:ind w:left="6"/>
        <w:rPr>
          <w:rFonts w:asciiTheme="minorHAnsi" w:hAnsiTheme="minorHAnsi" w:cstheme="minorHAnsi"/>
          <w:sz w:val="16"/>
          <w:szCs w:val="16"/>
        </w:rPr>
      </w:pPr>
      <w:r w:rsidRPr="00CA42BF">
        <w:rPr>
          <w:rFonts w:asciiTheme="minorHAnsi" w:hAnsiTheme="minorHAnsi" w:cstheme="minorHAnsi"/>
          <w:color w:val="231F20"/>
          <w:w w:val="105"/>
          <w:sz w:val="16"/>
          <w:szCs w:val="16"/>
        </w:rPr>
        <w:t>ISBN:</w:t>
      </w:r>
      <w:r w:rsidRPr="00CA42BF">
        <w:rPr>
          <w:rFonts w:asciiTheme="minorHAnsi" w:hAnsiTheme="minorHAnsi" w:cstheme="minorHAnsi"/>
          <w:color w:val="231F20"/>
          <w:spacing w:val="-8"/>
          <w:w w:val="105"/>
          <w:sz w:val="16"/>
          <w:szCs w:val="16"/>
        </w:rPr>
        <w:t xml:space="preserve"> </w:t>
      </w:r>
      <w:r w:rsidRPr="00CA42BF">
        <w:rPr>
          <w:rFonts w:asciiTheme="minorHAnsi" w:hAnsiTheme="minorHAnsi" w:cstheme="minorHAnsi"/>
          <w:color w:val="231F20"/>
          <w:w w:val="105"/>
          <w:sz w:val="16"/>
          <w:szCs w:val="16"/>
        </w:rPr>
        <w:t>978-87-90470-64-7</w:t>
      </w:r>
      <w:r w:rsidR="00802787" w:rsidRPr="00CA42BF">
        <w:rPr>
          <w:rFonts w:asciiTheme="minorHAnsi" w:hAnsiTheme="minorHAnsi" w:cstheme="minorHAnsi"/>
          <w:color w:val="231F20"/>
          <w:w w:val="105"/>
          <w:sz w:val="16"/>
          <w:szCs w:val="16"/>
        </w:rPr>
        <w:t xml:space="preserve"> </w:t>
      </w:r>
    </w:p>
  </w:footnote>
  <w:footnote w:id="2">
    <w:p w:rsidR="00CA42BF" w:rsidRPr="00CA42BF" w:rsidRDefault="00CA42BF">
      <w:pPr>
        <w:pStyle w:val="Fodnotetekst"/>
        <w:rPr>
          <w:sz w:val="16"/>
          <w:szCs w:val="16"/>
        </w:rPr>
      </w:pPr>
      <w:r w:rsidRPr="00CA42BF">
        <w:rPr>
          <w:rStyle w:val="Fodnotehenvisning"/>
          <w:rFonts w:asciiTheme="minorHAnsi" w:hAnsiTheme="minorHAnsi" w:cstheme="minorHAnsi"/>
          <w:sz w:val="16"/>
          <w:szCs w:val="16"/>
        </w:rPr>
        <w:footnoteRef/>
      </w:r>
      <w:r w:rsidRPr="00CA42BF">
        <w:rPr>
          <w:rFonts w:asciiTheme="minorHAnsi" w:hAnsiTheme="minorHAnsi" w:cstheme="minorHAnsi"/>
          <w:sz w:val="16"/>
          <w:szCs w:val="16"/>
        </w:rPr>
        <w:t xml:space="preserve"> Bemærk at ovenstående ikke gælder for Designmuseum Danmark, der er en privat institution, der ikke udfører myndighedsbetjening.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CB0"/>
    <w:multiLevelType w:val="hybridMultilevel"/>
    <w:tmpl w:val="81586E70"/>
    <w:lvl w:ilvl="0" w:tplc="38720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18D"/>
    <w:multiLevelType w:val="hybridMultilevel"/>
    <w:tmpl w:val="130AE79C"/>
    <w:lvl w:ilvl="0" w:tplc="09E63E56">
      <w:start w:val="1"/>
      <w:numFmt w:val="decimal"/>
      <w:lvlText w:val="%1."/>
      <w:lvlJc w:val="left"/>
      <w:pPr>
        <w:ind w:left="4632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5352" w:hanging="360"/>
      </w:pPr>
    </w:lvl>
    <w:lvl w:ilvl="2" w:tplc="0406001B">
      <w:start w:val="1"/>
      <w:numFmt w:val="lowerRoman"/>
      <w:lvlText w:val="%3."/>
      <w:lvlJc w:val="right"/>
      <w:pPr>
        <w:ind w:left="6072" w:hanging="180"/>
      </w:pPr>
    </w:lvl>
    <w:lvl w:ilvl="3" w:tplc="0406000F">
      <w:start w:val="1"/>
      <w:numFmt w:val="decimal"/>
      <w:lvlText w:val="%4."/>
      <w:lvlJc w:val="left"/>
      <w:pPr>
        <w:ind w:left="6792" w:hanging="360"/>
      </w:pPr>
    </w:lvl>
    <w:lvl w:ilvl="4" w:tplc="04060019">
      <w:start w:val="1"/>
      <w:numFmt w:val="lowerLetter"/>
      <w:lvlText w:val="%5."/>
      <w:lvlJc w:val="left"/>
      <w:pPr>
        <w:ind w:left="7512" w:hanging="360"/>
      </w:pPr>
    </w:lvl>
    <w:lvl w:ilvl="5" w:tplc="0406001B">
      <w:start w:val="1"/>
      <w:numFmt w:val="lowerRoman"/>
      <w:lvlText w:val="%6."/>
      <w:lvlJc w:val="right"/>
      <w:pPr>
        <w:ind w:left="8232" w:hanging="180"/>
      </w:pPr>
    </w:lvl>
    <w:lvl w:ilvl="6" w:tplc="0406000F">
      <w:start w:val="1"/>
      <w:numFmt w:val="decimal"/>
      <w:lvlText w:val="%7."/>
      <w:lvlJc w:val="left"/>
      <w:pPr>
        <w:ind w:left="8952" w:hanging="360"/>
      </w:pPr>
    </w:lvl>
    <w:lvl w:ilvl="7" w:tplc="04060019">
      <w:start w:val="1"/>
      <w:numFmt w:val="lowerLetter"/>
      <w:lvlText w:val="%8."/>
      <w:lvlJc w:val="left"/>
      <w:pPr>
        <w:ind w:left="9672" w:hanging="360"/>
      </w:pPr>
    </w:lvl>
    <w:lvl w:ilvl="8" w:tplc="0406001B">
      <w:start w:val="1"/>
      <w:numFmt w:val="lowerRoman"/>
      <w:lvlText w:val="%9."/>
      <w:lvlJc w:val="right"/>
      <w:pPr>
        <w:ind w:left="10392" w:hanging="180"/>
      </w:pPr>
    </w:lvl>
  </w:abstractNum>
  <w:abstractNum w:abstractNumId="2" w15:restartNumberingAfterBreak="0">
    <w:nsid w:val="7E5D1070"/>
    <w:multiLevelType w:val="hybridMultilevel"/>
    <w:tmpl w:val="89D2E174"/>
    <w:lvl w:ilvl="0" w:tplc="0406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5"/>
    <w:rsid w:val="00010DC9"/>
    <w:rsid w:val="000566CD"/>
    <w:rsid w:val="00093CF5"/>
    <w:rsid w:val="001469D7"/>
    <w:rsid w:val="001D0E54"/>
    <w:rsid w:val="00297586"/>
    <w:rsid w:val="002E6239"/>
    <w:rsid w:val="0039355B"/>
    <w:rsid w:val="003A77BB"/>
    <w:rsid w:val="003B1B61"/>
    <w:rsid w:val="003F1FC4"/>
    <w:rsid w:val="0042130B"/>
    <w:rsid w:val="00433145"/>
    <w:rsid w:val="004B0D85"/>
    <w:rsid w:val="004D0F33"/>
    <w:rsid w:val="004D6B58"/>
    <w:rsid w:val="004E513F"/>
    <w:rsid w:val="00562C0F"/>
    <w:rsid w:val="005A26E1"/>
    <w:rsid w:val="00615F8A"/>
    <w:rsid w:val="0064442E"/>
    <w:rsid w:val="00691A5B"/>
    <w:rsid w:val="006C6E0A"/>
    <w:rsid w:val="00727141"/>
    <w:rsid w:val="00742EF5"/>
    <w:rsid w:val="007B5CC0"/>
    <w:rsid w:val="007B5E38"/>
    <w:rsid w:val="00802787"/>
    <w:rsid w:val="008A046C"/>
    <w:rsid w:val="008B5C81"/>
    <w:rsid w:val="00930201"/>
    <w:rsid w:val="0097531D"/>
    <w:rsid w:val="00985395"/>
    <w:rsid w:val="00997407"/>
    <w:rsid w:val="009B70E8"/>
    <w:rsid w:val="00A33985"/>
    <w:rsid w:val="00A9010B"/>
    <w:rsid w:val="00AA4200"/>
    <w:rsid w:val="00B229E1"/>
    <w:rsid w:val="00B729E8"/>
    <w:rsid w:val="00BE0238"/>
    <w:rsid w:val="00BE11E7"/>
    <w:rsid w:val="00BF7A25"/>
    <w:rsid w:val="00C00B26"/>
    <w:rsid w:val="00C61732"/>
    <w:rsid w:val="00CA42BF"/>
    <w:rsid w:val="00CB0FF4"/>
    <w:rsid w:val="00CE2404"/>
    <w:rsid w:val="00E83C01"/>
    <w:rsid w:val="00F32031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C836"/>
  <w15:chartTrackingRefBased/>
  <w15:docId w15:val="{742B4413-2AD4-49AD-A8B5-25C133FB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9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5395"/>
    <w:pPr>
      <w:ind w:left="720"/>
      <w:contextualSpacing/>
    </w:pPr>
    <w:rPr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43314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33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433145"/>
    <w:rPr>
      <w:i/>
      <w:iCs/>
      <w:color w:val="5B9BD5" w:themeColor="accent1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62C0F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62C0F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62C0F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BF7A25"/>
    <w:pPr>
      <w:autoSpaceDE w:val="0"/>
      <w:autoSpaceDN w:val="0"/>
      <w:adjustRightInd w:val="0"/>
      <w:spacing w:line="240" w:lineRule="auto"/>
      <w:ind w:left="6"/>
    </w:pPr>
    <w:rPr>
      <w:rFonts w:ascii="Calibri" w:hAnsi="Calibri" w:cs="Calibri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uiPriority w:val="1"/>
    <w:rsid w:val="00BF7A2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8C97-FD2D-4512-B50B-B3738E9C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Wind</dc:creator>
  <cp:keywords/>
  <dc:description/>
  <cp:lastModifiedBy>Pia Wind</cp:lastModifiedBy>
  <cp:revision>6</cp:revision>
  <dcterms:created xsi:type="dcterms:W3CDTF">2022-01-13T08:25:00Z</dcterms:created>
  <dcterms:modified xsi:type="dcterms:W3CDTF">2022-01-14T11:02:00Z</dcterms:modified>
</cp:coreProperties>
</file>